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MAJUR</w:t>
      </w:r>
      <w:r>
        <w:rPr>
          <w:rFonts w:ascii="Times New Roman" w:hAnsi="Times New Roman" w:cs="Times New Roman"/>
          <w:sz w:val="24"/>
          <w:szCs w:val="24"/>
        </w:rPr>
        <w:br/>
        <w:t>MAJUR, KOLODVORSKA 5</w:t>
      </w:r>
      <w:r>
        <w:rPr>
          <w:rFonts w:ascii="Times New Roman" w:hAnsi="Times New Roman" w:cs="Times New Roman"/>
          <w:sz w:val="24"/>
          <w:szCs w:val="24"/>
        </w:rPr>
        <w:br/>
        <w:t>MB: 02616351</w:t>
      </w:r>
      <w:r>
        <w:rPr>
          <w:rFonts w:ascii="Times New Roman" w:hAnsi="Times New Roman" w:cs="Times New Roman"/>
          <w:sz w:val="24"/>
          <w:szCs w:val="24"/>
        </w:rPr>
        <w:br/>
        <w:t>OIB: 31634585614</w:t>
      </w:r>
      <w:r>
        <w:rPr>
          <w:rFonts w:ascii="Times New Roman" w:hAnsi="Times New Roman" w:cs="Times New Roman"/>
          <w:sz w:val="24"/>
          <w:szCs w:val="24"/>
        </w:rPr>
        <w:br/>
        <w:t>IBAN: HR0223400091855500001</w:t>
      </w:r>
      <w:r>
        <w:rPr>
          <w:rFonts w:ascii="Times New Roman" w:hAnsi="Times New Roman" w:cs="Times New Roman"/>
          <w:sz w:val="24"/>
          <w:szCs w:val="24"/>
        </w:rPr>
        <w:br/>
        <w:t>ŠIFRA DJELATNOSTI: 8411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BILJEŠKE UZ FINANCIJSKE IZVJEŠTAJE 01.01.-31.12.2024.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 BILJEŠKE UZ OBRAZAC PR-RAS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Pod šifrom 6 iskazani su ukupni prihodi poslovanja u iznosu od 2.164,369,68 eura. Ukupni prihodi sastoje se od prihoda od poreza 180.174,24 eura, pomoći iz inozemstva i od subjekata unutar općeg proračuna 1.931.718,36 eura, prihoda od imovine 6.515,85 eura,  prihoda od upravnih i administrativnih pristojbi, pristojbi po posebnim propisima i naknada u iznosu od 41.953,39 eura, te kazne, upravne mjere i ostali prihodi 4.007,84 eura.</w:t>
      </w: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Ukupni prihodi poslovanja smanjili su se za 6,6 indeksnih poena. Prihodi od poreza povećali su se za 45,8 indeksnih poena zbog pojačanog priljeva sredstava za različite vrste poreza (porez i prirez na dohodak, porez na imovinu itd.). Kapitalne pomoći proračunu iz drugih proračuna i izvan proračunskim korisnicima su se povećali za 414,6 indeksnih poena, a najveći dio se odnosi na odluku Vlade o isplati 1.000.000,00 € za sanaciju potresom pogođenih objekata. Također je vidljivo povećanje pomoći na temeljemu prijenosa EU sredstava, razlog tome jest primljeni predujam preko projekta „Zaželi“ i ostali. Prihodi od imovine su narasli za 36,3 indeksna poena zbog povećanog obujma korištenja društvenih domova kao i Kulturnog centra Majur koji se također iznajmljuje u nekoliko svrha. </w:t>
      </w: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šifrom 3 iskazani su ukupni rashodi poslovanja koji iznose 588.783,96 eura a sastoje se od rashoda za zaposlene 227.605,86 eura koji su veći nego za isto razdoblje 2023. godine jer je došlo za aktiviranje projekta „Zaželi – Majur pruža više“ preko kojeg se zapošljava 12 osoba te također zbog odluke Općinskog vijeća o promjeni odnosno povećanju koeficijenata zaposlenika Općine Majur. Materijalni rashodi su 164.075,70 eura te su smanjeni  za 16,5 indeksnih poena čiji je razlog racionalnije korištenje resursa. Reprezentacija u 2024. godini iznosi 17.010,48 razlog tome jest povećan oblik poslovnih sastanaka kao i edukacija koje su se provodile u prostorijama Kulturnog centra Majur. Zdravstvene i veterinarske usluge povećale su se za 160,3 indeksnih poena zbog potrebnog zbrinjavanja napuštenih pasa lutalica na području Općine Majur. Financijski rashodi iznosili su 4.618,29 eura, pomoći dane u inozemstvo i unutar općeg proračuna iznosile su 101.446,27 eura, naknade građanima i kućanstvima na temelju osiguranja i druge naknade iznosile su 17.131,65 eura, ostali rashodi 73.906,19 eura. Naknade građanima i kućanstvima u novcu smanjili su se za 17,9 indeksnih poena a odnose se na smanjen broj korisnika zajamčene minimalne naknade koji automatski ostvaruju pravo na podmirenje troškova stanovanja te novčana sredstva za ogrjev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računu 451 uočeno je povećanje od 56,5 indeksnih poena te iznos od 158.420,54 eura a odnosi se na uređenje društvenog doma Meminska, društvenih prostorija u Majuru i ostalih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br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2. BILJEŠKE UZ OBRAZAC BILANCE</w:t>
      </w:r>
    </w:p>
    <w:p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obrascu Bilanca, iskazana je ukupna vrijednost imovine od 4.073.553,45 eura te je bilo značajnijeg odstupanja u odnosu na 2023. godinu (28,3 indeksnih poena), Vidljivo je povećanje ispravka vrijednosti neproizvedene dugotrajne imovine od 26,1 indeksnih poena, te ispravka vrijednosti građevinskih objekata u iznosu od 24,3 indeksnih poena, Novac u banci i blagajni povećan je u odnosu na isto razdoblje prošle godine za 390 indeksnih poena zbog priljeva sredstava odlukom Vlade o kapitalnoj pomoći u ovom slučaju jedinici lokalne samouprave o sanaciji objekata stradalih u potresu. Ova stavka je najveći faktor rasta bilance.</w:t>
      </w:r>
    </w:p>
    <w:p>
      <w:pP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3.BILJEŠKE UZ OBRAZAC RAS-funkcijski</w:t>
      </w: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Pod šifrom 045 Promet uočeno je smanjenje od 86,6 indeksnih poena a razlog tome jesu velika ulaganja u 2023. godini tj. sanacija cesta Majur – Veliko Krčevo te Svinica – Gornji Hrastovac, dok u 2024. godini to nije slučaj u tom omjeru.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šifrom 049 Ekonomski poslovi koji nisu drugdje svrstani uočeno je povećanje od 145,5 indeksnih poena a najveći dio se odnosi na uređenje društvenih domova i objekata.</w:t>
      </w: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šifrom 0473 Turizam je iznos od 10.064,64, a odnosi se na Turističku zajednicu područja Banovina – Pounje koja je preuzela brigu organizacije pojedinih događaja na području općine Majur te susjednih općina, vidljiv je veliki porast koji je rezultat rada ka poboljšanju turističke ponude područja Banovine.</w:t>
      </w:r>
    </w:p>
    <w:p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računu 062 Razvoj zajednice uočeno je smanjenje od 20 indeksnih poena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računu 056 Poslovi i usluge zaštite okoliša koji nisu drugdje svrstani vidljivo je povećanje od 146,3 indeksnih poena, a najviše se odnosi na deratizaciju i dezinsekciju te uređenje okoliša.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spomenutom obrascu iskazani su ukupni rashodi za 2024. godinu prema funkcijskoj klasifikaciji u iznosu od 904.388,93 eura.</w:t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Rashodi prema funkcijskoj klasifikaciji su: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01 Opće javne usluge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188.783,52 eura</w:t>
      </w:r>
      <w:r>
        <w:rPr>
          <w:rFonts w:ascii="Times New Roman" w:hAnsi="Times New Roman" w:cs="Times New Roman"/>
          <w:sz w:val="24"/>
          <w:szCs w:val="24"/>
        </w:rPr>
        <w:br/>
        <w:t>04 Ekonomski poslovi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537.894,32 eura</w:t>
      </w:r>
      <w:r>
        <w:rPr>
          <w:rFonts w:ascii="Times New Roman" w:hAnsi="Times New Roman" w:cs="Times New Roman"/>
          <w:sz w:val="24"/>
          <w:szCs w:val="24"/>
        </w:rPr>
        <w:br/>
        <w:t>05 Zaštita okoliša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6.900,74 eura</w:t>
      </w:r>
      <w:r>
        <w:rPr>
          <w:rFonts w:ascii="Times New Roman" w:hAnsi="Times New Roman" w:cs="Times New Roman"/>
          <w:sz w:val="24"/>
          <w:szCs w:val="24"/>
        </w:rPr>
        <w:br/>
        <w:t>06 Usluge unapređenja stanovanja i zajednice         139.070,10 eura</w:t>
      </w:r>
      <w:r>
        <w:rPr>
          <w:rFonts w:ascii="Times New Roman" w:hAnsi="Times New Roman" w:cs="Times New Roman"/>
          <w:sz w:val="24"/>
          <w:szCs w:val="24"/>
        </w:rPr>
        <w:br/>
        <w:t>08 Rekreacija, kultura i religija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30.265,25 eura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 Obrazovanje                                                          600,00 eura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904.388,93 eura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br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4. BILJEŠKE UZ OBRAZAC P-VRIO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Na obrascu P-VRIO nema povećanja ni smanjenja.</w:t>
      </w:r>
    </w:p>
    <w:p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BILJEŠKE UZ OBRAZAC OBVEZE</w:t>
      </w:r>
    </w:p>
    <w:p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Pod šifrom V001 iskazane su obveze 1. siječnja 2024. godine u iznosu od 255.938,16 eura. Iskazano je povećanje obveza u iznosu od 908.873,48 eura a sastoji se od Obveza za rashode poslovanja 450.084,08 eura te Obveza za nabavu nefinancijske imovine 393.789,40 eura te obaveza za financijsku imovinu u iznosu od 65.000,00 eura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Mjesto i datum: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Majur, 14.02.2025.</w:t>
      </w:r>
      <w:r>
        <w:rPr>
          <w:rFonts w:ascii="Times New Roman" w:hAnsi="Times New Roman" w:cs="Times New Roman"/>
          <w:sz w:val="24"/>
          <w:szCs w:val="24"/>
        </w:rPr>
        <w:br/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F22CA-DBC6-4C99-8882-33100A7D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Tihana</cp:lastModifiedBy>
  <cp:revision>9</cp:revision>
  <dcterms:created xsi:type="dcterms:W3CDTF">2022-02-27T18:49:00Z</dcterms:created>
  <dcterms:modified xsi:type="dcterms:W3CDTF">2025-02-14T12:50:00Z</dcterms:modified>
</cp:coreProperties>
</file>